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046DF" w14:textId="29CED0AE" w:rsidR="00890012" w:rsidRPr="00D508ED" w:rsidRDefault="00682289" w:rsidP="00D508ED">
      <w:pPr>
        <w:spacing w:after="0"/>
        <w:jc w:val="center"/>
        <w:rPr>
          <w:b/>
          <w:bCs/>
        </w:rPr>
      </w:pPr>
      <w:r>
        <w:rPr>
          <w:b/>
          <w:bCs/>
        </w:rPr>
        <w:t xml:space="preserve">Summary of </w:t>
      </w:r>
      <w:r w:rsidR="00D508ED" w:rsidRPr="00D508ED">
        <w:rPr>
          <w:b/>
          <w:bCs/>
        </w:rPr>
        <w:t>Revisions to IMR Draft Guidance</w:t>
      </w:r>
    </w:p>
    <w:p w14:paraId="02081E67" w14:textId="7EB13976" w:rsidR="00D508ED" w:rsidRPr="00D508ED" w:rsidRDefault="00170FB1" w:rsidP="00D508ED">
      <w:pPr>
        <w:jc w:val="center"/>
        <w:rPr>
          <w:b/>
          <w:bCs/>
        </w:rPr>
      </w:pPr>
      <w:r>
        <w:rPr>
          <w:b/>
          <w:bCs/>
        </w:rPr>
        <w:t>2026 Summer National Meeting</w:t>
      </w:r>
    </w:p>
    <w:p w14:paraId="306FB1FE" w14:textId="77777777" w:rsidR="00F132B1" w:rsidRDefault="00F132B1" w:rsidP="00C62078">
      <w:pPr>
        <w:spacing w:after="0"/>
        <w:rPr>
          <w:i/>
          <w:iCs/>
        </w:rPr>
      </w:pPr>
    </w:p>
    <w:p w14:paraId="50714C16" w14:textId="36247A2C" w:rsidR="00D508ED" w:rsidRPr="00F132B1" w:rsidRDefault="00D508ED" w:rsidP="00C62078">
      <w:pPr>
        <w:spacing w:after="0"/>
        <w:rPr>
          <w:b/>
          <w:bCs/>
          <w:i/>
          <w:iCs/>
          <w:u w:val="single"/>
        </w:rPr>
      </w:pPr>
      <w:r w:rsidRPr="00F132B1">
        <w:rPr>
          <w:b/>
          <w:bCs/>
          <w:i/>
          <w:iCs/>
          <w:u w:val="single"/>
        </w:rPr>
        <w:t>SSAP No. 7—Asset Valuation Reserve and Interest Maintenance Reserve</w:t>
      </w:r>
    </w:p>
    <w:p w14:paraId="2594E3E0" w14:textId="17E176CC" w:rsidR="00C62078" w:rsidRDefault="00C62078" w:rsidP="00F132B1">
      <w:pPr>
        <w:spacing w:after="240"/>
        <w:jc w:val="both"/>
        <w:rPr>
          <w:i/>
          <w:iCs/>
        </w:rPr>
      </w:pPr>
      <w:r>
        <w:rPr>
          <w:i/>
          <w:iCs/>
        </w:rPr>
        <w:t>Note: Revisions to abbreviations or minor word changes are not reflected below.</w:t>
      </w:r>
      <w:r w:rsidR="00F132B1">
        <w:rPr>
          <w:i/>
          <w:iCs/>
        </w:rPr>
        <w:t xml:space="preserve"> Most edits are clarifying and in line with original intent. </w:t>
      </w:r>
      <w:r>
        <w:rPr>
          <w:i/>
          <w:iCs/>
        </w:rPr>
        <w:t xml:space="preserve"> </w:t>
      </w:r>
      <w:r w:rsidR="00F132B1" w:rsidRPr="00170FB1">
        <w:rPr>
          <w:i/>
          <w:iCs/>
          <w:highlight w:val="lightGray"/>
        </w:rPr>
        <w:t>The highlighted paragraph references reflect what NAIC staff considers to be the biggest edits to the guidance</w:t>
      </w:r>
      <w:r w:rsidR="001A6527" w:rsidRPr="00170FB1">
        <w:rPr>
          <w:i/>
          <w:iCs/>
          <w:highlight w:val="lightGray"/>
        </w:rPr>
        <w:t xml:space="preserve"> and/or </w:t>
      </w:r>
      <w:r w:rsidR="000F5471" w:rsidRPr="00170FB1">
        <w:rPr>
          <w:i/>
          <w:iCs/>
          <w:highlight w:val="lightGray"/>
        </w:rPr>
        <w:t>areas where the proposed edits to not mirror the ACLI recommendations</w:t>
      </w:r>
      <w:r w:rsidR="00F132B1">
        <w:rPr>
          <w:i/>
          <w:iCs/>
        </w:rPr>
        <w:t xml:space="preserve">. </w:t>
      </w:r>
      <w:r w:rsidR="00DA0B0B">
        <w:rPr>
          <w:i/>
          <w:iCs/>
        </w:rPr>
        <w:t>(These changes are tracked.)</w:t>
      </w:r>
    </w:p>
    <w:p w14:paraId="1FEA6CBA" w14:textId="270E4286" w:rsidR="00D508ED" w:rsidRDefault="00D508ED" w:rsidP="00041A50">
      <w:pPr>
        <w:ind w:left="720" w:hanging="720"/>
        <w:jc w:val="both"/>
      </w:pPr>
      <w:r>
        <w:t xml:space="preserve">P1 </w:t>
      </w:r>
      <w:r w:rsidR="008A0BE9">
        <w:tab/>
      </w:r>
      <w:r>
        <w:t xml:space="preserve">Movement of </w:t>
      </w:r>
      <w:r w:rsidR="008A0BE9">
        <w:t>f</w:t>
      </w:r>
      <w:r>
        <w:t xml:space="preserve">ootnote from paragraph 2 to paragraph 1. </w:t>
      </w:r>
    </w:p>
    <w:p w14:paraId="1F0AB617" w14:textId="45436B6C" w:rsidR="00D508ED" w:rsidRDefault="00D508ED" w:rsidP="00041A50">
      <w:pPr>
        <w:ind w:left="720" w:hanging="720"/>
        <w:jc w:val="both"/>
      </w:pPr>
      <w:r>
        <w:t xml:space="preserve">P4 </w:t>
      </w:r>
      <w:r w:rsidR="008A0BE9">
        <w:tab/>
      </w:r>
      <w:r>
        <w:t xml:space="preserve">Remove reference to gains, as all gains from known liquidity sales are required to be taken to the IMR and amortized. </w:t>
      </w:r>
    </w:p>
    <w:p w14:paraId="7A6B3BAF" w14:textId="00916E47" w:rsidR="00047AF1" w:rsidRPr="0044248D" w:rsidRDefault="00047AF1" w:rsidP="00041A50">
      <w:pPr>
        <w:ind w:left="720" w:hanging="720"/>
        <w:jc w:val="both"/>
      </w:pPr>
      <w:r w:rsidRPr="003B26E1">
        <w:rPr>
          <w:highlight w:val="lightGray"/>
        </w:rPr>
        <w:t>P5</w:t>
      </w:r>
      <w:r w:rsidRPr="003B26E1">
        <w:rPr>
          <w:highlight w:val="lightGray"/>
        </w:rPr>
        <w:tab/>
        <w:t xml:space="preserve">Revisions </w:t>
      </w:r>
      <w:r w:rsidR="0044248D" w:rsidRPr="003B26E1">
        <w:rPr>
          <w:highlight w:val="lightGray"/>
        </w:rPr>
        <w:t xml:space="preserve">incorporate ACLI proposed edits to the definition of IMR. Specifically, the revisions clarify that IMR is a valuation adjustment to maintain consistency between the valuation manual basis for insurance liabilities (for which the rate used to discount cash flows is often unchanged from origin), and the amortized cost of assets needed to support them (where the portfolio yield is updated any time there are fixed income realizations). </w:t>
      </w:r>
      <w:r w:rsidR="003B26E1" w:rsidRPr="003B26E1">
        <w:rPr>
          <w:highlight w:val="lightGray"/>
        </w:rPr>
        <w:t>(The document illustrates deletion of the prior guidance.)</w:t>
      </w:r>
      <w:r w:rsidR="003B26E1">
        <w:t xml:space="preserve"> </w:t>
      </w:r>
    </w:p>
    <w:p w14:paraId="19748610" w14:textId="51E1EB6F" w:rsidR="00D508ED" w:rsidRDefault="00D508ED" w:rsidP="00041A50">
      <w:pPr>
        <w:ind w:left="720" w:hanging="720"/>
        <w:jc w:val="both"/>
      </w:pPr>
      <w:r>
        <w:t xml:space="preserve">P8 </w:t>
      </w:r>
      <w:r w:rsidR="008A0BE9">
        <w:tab/>
      </w:r>
      <w:r w:rsidR="00597F2E">
        <w:t>The</w:t>
      </w:r>
      <w:r w:rsidR="00041A50">
        <w:t xml:space="preserve"> </w:t>
      </w:r>
      <w:r>
        <w:t>allocation to AVR</w:t>
      </w:r>
      <w:r w:rsidR="00FD6A86">
        <w:t xml:space="preserve"> for items held at fair value</w:t>
      </w:r>
      <w:r>
        <w:t xml:space="preserve"> </w:t>
      </w:r>
      <w:r w:rsidR="00597F2E">
        <w:t>has been revised to include an exception in situations where there are ot</w:t>
      </w:r>
      <w:r>
        <w:t>her specific statutory accounting provisions. This primarily pertains to foreign exchange gains/losses, which are excluded from both IMR and AVR, but i</w:t>
      </w:r>
      <w:r w:rsidR="00041A50">
        <w:t>s</w:t>
      </w:r>
      <w:r>
        <w:t xml:space="preserve"> </w:t>
      </w:r>
      <w:r w:rsidR="00041A50">
        <w:t xml:space="preserve">broadly </w:t>
      </w:r>
      <w:r>
        <w:t xml:space="preserve">written for other instances. </w:t>
      </w:r>
    </w:p>
    <w:p w14:paraId="77BDBFCE" w14:textId="26DD14F9" w:rsidR="00D508ED" w:rsidRDefault="00D508ED" w:rsidP="00041A50">
      <w:pPr>
        <w:ind w:left="720" w:hanging="720"/>
        <w:jc w:val="both"/>
      </w:pPr>
      <w:r>
        <w:t xml:space="preserve">P9 </w:t>
      </w:r>
      <w:r w:rsidR="008A0BE9">
        <w:tab/>
      </w:r>
      <w:r>
        <w:t xml:space="preserve">Include reference to qualifying derivatives and derivative counterparties along with fixed-income instruments. </w:t>
      </w:r>
    </w:p>
    <w:p w14:paraId="70AF3DD9" w14:textId="41868316" w:rsidR="008A0BE9" w:rsidRDefault="008A0BE9" w:rsidP="00041A50">
      <w:pPr>
        <w:ind w:left="720" w:hanging="720"/>
        <w:jc w:val="both"/>
      </w:pPr>
      <w:r>
        <w:t xml:space="preserve">P10i. </w:t>
      </w:r>
      <w:r>
        <w:tab/>
        <w:t xml:space="preserve">Footnote 4 was expanded to provide IMR/AVR direction for the cash component of an RSAT transaction. </w:t>
      </w:r>
      <w:r w:rsidR="009925E1">
        <w:t xml:space="preserve">This was also captured in the revisions to SSAP No. 86. </w:t>
      </w:r>
    </w:p>
    <w:p w14:paraId="1786FB6F" w14:textId="1AFE3D13" w:rsidR="008A0BE9" w:rsidRDefault="008A0BE9" w:rsidP="00041A50">
      <w:pPr>
        <w:ind w:left="720" w:hanging="720"/>
        <w:jc w:val="both"/>
      </w:pPr>
      <w:r w:rsidRPr="001A6527">
        <w:rPr>
          <w:highlight w:val="lightGray"/>
        </w:rPr>
        <w:t xml:space="preserve">P13 </w:t>
      </w:r>
      <w:r w:rsidRPr="001A6527">
        <w:rPr>
          <w:highlight w:val="lightGray"/>
        </w:rPr>
        <w:tab/>
        <w:t xml:space="preserve"> Expanded to include </w:t>
      </w:r>
      <w:r w:rsidR="009925E1" w:rsidRPr="001A6527">
        <w:rPr>
          <w:highlight w:val="lightGray"/>
        </w:rPr>
        <w:t>examples</w:t>
      </w:r>
      <w:r w:rsidR="00810C3E" w:rsidRPr="001A6527">
        <w:rPr>
          <w:highlight w:val="lightGray"/>
        </w:rPr>
        <w:t xml:space="preserve"> of known liquidity sale losses similar to what </w:t>
      </w:r>
      <w:r w:rsidR="00FB190C" w:rsidRPr="001A6527">
        <w:rPr>
          <w:highlight w:val="lightGray"/>
        </w:rPr>
        <w:t>was</w:t>
      </w:r>
      <w:r w:rsidR="00810C3E" w:rsidRPr="001A6527">
        <w:rPr>
          <w:highlight w:val="lightGray"/>
        </w:rPr>
        <w:t xml:space="preserve"> included in </w:t>
      </w:r>
      <w:r w:rsidR="00FB190C" w:rsidRPr="001A6527">
        <w:rPr>
          <w:highlight w:val="lightGray"/>
        </w:rPr>
        <w:t>paragraph 29.b.i</w:t>
      </w:r>
      <w:r w:rsidR="00810C3E" w:rsidRPr="001A6527">
        <w:rPr>
          <w:highlight w:val="lightGray"/>
        </w:rPr>
        <w:t xml:space="preserve"> These revisions do not match the ACLI proposed edits</w:t>
      </w:r>
      <w:r w:rsidR="0086616E">
        <w:rPr>
          <w:highlight w:val="lightGray"/>
        </w:rPr>
        <w:t xml:space="preserve">, as they were considered too limiting. </w:t>
      </w:r>
      <w:r w:rsidR="002A009E" w:rsidRPr="001A6527">
        <w:rPr>
          <w:highlight w:val="lightGray"/>
        </w:rPr>
        <w:t xml:space="preserve">The guidance </w:t>
      </w:r>
      <w:r w:rsidR="009136DF" w:rsidRPr="001A6527">
        <w:rPr>
          <w:highlight w:val="lightGray"/>
        </w:rPr>
        <w:t xml:space="preserve">for known liquidity sales </w:t>
      </w:r>
      <w:r w:rsidR="002A009E" w:rsidRPr="001A6527">
        <w:rPr>
          <w:highlight w:val="lightGray"/>
        </w:rPr>
        <w:t xml:space="preserve">intends to capture all situations in which </w:t>
      </w:r>
      <w:r w:rsidR="009136DF" w:rsidRPr="001A6527">
        <w:rPr>
          <w:highlight w:val="lightGray"/>
        </w:rPr>
        <w:t>an IMR qualifying fixed income investment is sold and not reinvested into a new qualifying fixed income investment.</w:t>
      </w:r>
      <w:r w:rsidR="009136DF">
        <w:t xml:space="preserve"> </w:t>
      </w:r>
      <w:r>
        <w:t xml:space="preserve"> </w:t>
      </w:r>
    </w:p>
    <w:p w14:paraId="63B15047" w14:textId="7DE3AB61" w:rsidR="008818E3" w:rsidRDefault="008818E3" w:rsidP="00041A50">
      <w:pPr>
        <w:ind w:left="720" w:hanging="720"/>
        <w:jc w:val="both"/>
      </w:pPr>
      <w:r>
        <w:t>P15</w:t>
      </w:r>
      <w:r>
        <w:tab/>
        <w:t xml:space="preserve">Added reference, consistent with the annual statement instructions, that IMR shall be amortized into income over the expected remaining life of the qualifying fixed </w:t>
      </w:r>
      <w:r>
        <w:lastRenderedPageBreak/>
        <w:t xml:space="preserve">income investment sold. Also expanded footnote 7 to refer to the instructions for further guidance on the application of “expected maturity” for specific investments. </w:t>
      </w:r>
    </w:p>
    <w:p w14:paraId="30D8F757" w14:textId="14DF2F2E" w:rsidR="008818E3" w:rsidRDefault="008818E3" w:rsidP="00041A50">
      <w:pPr>
        <w:ind w:left="720" w:hanging="720"/>
        <w:jc w:val="both"/>
      </w:pPr>
      <w:r>
        <w:t xml:space="preserve">P17 </w:t>
      </w:r>
      <w:r>
        <w:tab/>
      </w:r>
      <w:r w:rsidR="00F11C87">
        <w:t>Added c</w:t>
      </w:r>
      <w:r>
        <w:t>larifying revisions</w:t>
      </w:r>
      <w:r w:rsidR="00487C10">
        <w:t xml:space="preserve"> </w:t>
      </w:r>
      <w:r w:rsidR="00F11C87">
        <w:t xml:space="preserve">for </w:t>
      </w:r>
      <w:r w:rsidR="00487C10">
        <w:t xml:space="preserve">when the proof of reinvestment is not required. </w:t>
      </w:r>
      <w:r>
        <w:t xml:space="preserve"> </w:t>
      </w:r>
    </w:p>
    <w:p w14:paraId="0C666986" w14:textId="797E3C37" w:rsidR="008818E3" w:rsidRDefault="008818E3" w:rsidP="00041A50">
      <w:pPr>
        <w:ind w:left="720" w:hanging="720"/>
        <w:jc w:val="both"/>
      </w:pPr>
      <w:r w:rsidRPr="00F11C87">
        <w:t>P19</w:t>
      </w:r>
      <w:r w:rsidRPr="00F11C87">
        <w:tab/>
      </w:r>
      <w:r w:rsidRPr="000F5471">
        <w:rPr>
          <w:highlight w:val="lightGray"/>
        </w:rPr>
        <w:t xml:space="preserve">Expanded, reorganized and clarified guidance when a reporting entity does not complete or pass the proof of reinvestment. This guidance has been expanded to include an additional exception when a reporting entity has assumed net negative IMR losses from a reinsurance arrangement. </w:t>
      </w:r>
      <w:r w:rsidR="00F11C87" w:rsidRPr="000F5471">
        <w:rPr>
          <w:highlight w:val="lightGray"/>
        </w:rPr>
        <w:t xml:space="preserve"> These revisions do not match the ACLI edits</w:t>
      </w:r>
      <w:r w:rsidR="00AF4447" w:rsidRPr="000F5471">
        <w:rPr>
          <w:highlight w:val="lightGray"/>
        </w:rPr>
        <w:t xml:space="preserve">, </w:t>
      </w:r>
      <w:r w:rsidR="002115EC" w:rsidRPr="000F5471">
        <w:rPr>
          <w:highlight w:val="lightGray"/>
        </w:rPr>
        <w:t>as guidance captured in other paragraphs has been deleted.</w:t>
      </w:r>
      <w:r w:rsidR="002115EC">
        <w:t xml:space="preserve"> </w:t>
      </w:r>
    </w:p>
    <w:p w14:paraId="6AE4A19E" w14:textId="3E5C4086" w:rsidR="00DB10E8" w:rsidRDefault="008818E3" w:rsidP="00041A50">
      <w:pPr>
        <w:ind w:left="720" w:hanging="720"/>
        <w:jc w:val="both"/>
      </w:pPr>
      <w:r>
        <w:t>P2</w:t>
      </w:r>
      <w:r w:rsidR="00DB10E8">
        <w:t>0</w:t>
      </w:r>
      <w:r>
        <w:tab/>
      </w:r>
      <w:r w:rsidR="0063601E">
        <w:t>Revision</w:t>
      </w:r>
      <w:r w:rsidR="00DB10E8">
        <w:t xml:space="preserve">s intend to clarify when a ceding entity should derecognize IMR from a reinsurance contract. Specifically, the guidance refers to at inception of the contract. </w:t>
      </w:r>
    </w:p>
    <w:p w14:paraId="396F37A0" w14:textId="079E1543" w:rsidR="008818E3" w:rsidRDefault="008818E3" w:rsidP="00041A50">
      <w:pPr>
        <w:ind w:left="720" w:hanging="720"/>
        <w:jc w:val="both"/>
      </w:pPr>
      <w:r>
        <w:t xml:space="preserve"> </w:t>
      </w:r>
      <w:r w:rsidR="00DB10E8">
        <w:t>P21</w:t>
      </w:r>
      <w:r w:rsidR="00DB10E8">
        <w:tab/>
      </w:r>
      <w:r w:rsidR="003D6FFF" w:rsidRPr="000F5471">
        <w:rPr>
          <w:highlight w:val="lightGray"/>
        </w:rPr>
        <w:t>Key revision</w:t>
      </w:r>
      <w:r w:rsidR="00D62766" w:rsidRPr="000F5471">
        <w:rPr>
          <w:highlight w:val="lightGray"/>
        </w:rPr>
        <w:t xml:space="preserve"> incorporated from the ACLI</w:t>
      </w:r>
      <w:r w:rsidR="003D6FFF" w:rsidRPr="000F5471">
        <w:rPr>
          <w:highlight w:val="lightGray"/>
        </w:rPr>
        <w:t xml:space="preserve"> </w:t>
      </w:r>
      <w:r w:rsidR="00653900" w:rsidRPr="000F5471">
        <w:rPr>
          <w:highlight w:val="lightGray"/>
        </w:rPr>
        <w:t>indicates that derecognized IMR shall be a direct adjustment to IMR with the offset to Aggregate Write-Ins for Deductions. This is believed to be historical practice for FWH</w:t>
      </w:r>
      <w:r w:rsidR="00D62766" w:rsidRPr="000F5471">
        <w:rPr>
          <w:highlight w:val="lightGray"/>
        </w:rPr>
        <w:t xml:space="preserve"> agreements but could represent a change to companies with modco agreements.</w:t>
      </w:r>
      <w:r w:rsidR="00D62766">
        <w:t xml:space="preserve"> </w:t>
      </w:r>
    </w:p>
    <w:p w14:paraId="5E16830A" w14:textId="5A48AEE1" w:rsidR="008818E3" w:rsidRDefault="008818E3" w:rsidP="00041A50">
      <w:pPr>
        <w:ind w:left="720" w:hanging="720"/>
        <w:jc w:val="both"/>
      </w:pPr>
      <w:r>
        <w:t xml:space="preserve">P23 </w:t>
      </w:r>
      <w:r>
        <w:tab/>
      </w:r>
      <w:r w:rsidR="00041A50">
        <w:t>Include</w:t>
      </w:r>
      <w:r>
        <w:t xml:space="preserve"> example for non-U.S. domiciled insurance reporting entities</w:t>
      </w:r>
      <w:r w:rsidR="00041A50">
        <w:t xml:space="preserve"> for when an assuming entity is not required to maintain IMR</w:t>
      </w:r>
      <w:r>
        <w:t xml:space="preserve">. </w:t>
      </w:r>
    </w:p>
    <w:p w14:paraId="5010B9A9" w14:textId="0A416914" w:rsidR="008A0BE9" w:rsidRDefault="00C62078" w:rsidP="00041A50">
      <w:pPr>
        <w:ind w:left="720" w:hanging="720"/>
        <w:jc w:val="both"/>
      </w:pPr>
      <w:r>
        <w:t>P25</w:t>
      </w:r>
      <w:r w:rsidR="00041A50">
        <w:t>a</w:t>
      </w:r>
      <w:r>
        <w:tab/>
      </w:r>
      <w:r w:rsidR="00041A50">
        <w:t xml:space="preserve">Update to refer to admitted IMR and not disallowed IMR. </w:t>
      </w:r>
    </w:p>
    <w:p w14:paraId="598C1589" w14:textId="1711BA68" w:rsidR="00041A50" w:rsidRDefault="00041A50" w:rsidP="00041A50">
      <w:pPr>
        <w:ind w:left="720" w:hanging="720"/>
        <w:jc w:val="both"/>
      </w:pPr>
      <w:r w:rsidRPr="00F132B1">
        <w:rPr>
          <w:highlight w:val="lightGray"/>
        </w:rPr>
        <w:t>P25c</w:t>
      </w:r>
      <w:r w:rsidRPr="00F132B1">
        <w:rPr>
          <w:highlight w:val="lightGray"/>
        </w:rPr>
        <w:tab/>
        <w:t>Revisions expand the valuation manual references, with language that will include future relevant VM requirements without requiring subsequent modification.</w:t>
      </w:r>
      <w:r>
        <w:t xml:space="preserve"> </w:t>
      </w:r>
    </w:p>
    <w:p w14:paraId="12FE16B4" w14:textId="0F3C35D8" w:rsidR="00041A50" w:rsidRPr="00F132B1" w:rsidRDefault="00041A50" w:rsidP="00041A50">
      <w:pPr>
        <w:ind w:left="720" w:hanging="720"/>
        <w:jc w:val="both"/>
        <w:rPr>
          <w:highlight w:val="lightGray"/>
        </w:rPr>
      </w:pPr>
      <w:r w:rsidRPr="00F132B1">
        <w:rPr>
          <w:highlight w:val="lightGray"/>
        </w:rPr>
        <w:t xml:space="preserve">P26 </w:t>
      </w:r>
      <w:r w:rsidRPr="00F132B1">
        <w:rPr>
          <w:highlight w:val="lightGray"/>
        </w:rPr>
        <w:tab/>
        <w:t xml:space="preserve">Revisions alter the initially exposed guidance for admittance </w:t>
      </w:r>
      <w:r w:rsidR="00F132B1" w:rsidRPr="00F132B1">
        <w:rPr>
          <w:highlight w:val="lightGray"/>
        </w:rPr>
        <w:t>within</w:t>
      </w:r>
      <w:r w:rsidRPr="00F132B1">
        <w:rPr>
          <w:highlight w:val="lightGray"/>
        </w:rPr>
        <w:t xml:space="preserve"> the general and separate accounts. With the changes, reporting entities will be permitted to admit negative IMR to the extent it exists in each account as they choose, up to the overall net admittance limit. </w:t>
      </w:r>
      <w:r w:rsidR="009B6F45">
        <w:rPr>
          <w:highlight w:val="lightGray"/>
        </w:rPr>
        <w:t>The guidance will</w:t>
      </w:r>
      <w:r w:rsidR="00F132B1" w:rsidRPr="00F132B1">
        <w:rPr>
          <w:highlight w:val="lightGray"/>
        </w:rPr>
        <w:t xml:space="preserve"> require r</w:t>
      </w:r>
      <w:r w:rsidRPr="00F132B1">
        <w:rPr>
          <w:highlight w:val="lightGray"/>
        </w:rPr>
        <w:t xml:space="preserve">eporting entities that do not follow a proportionate approach </w:t>
      </w:r>
      <w:r w:rsidR="00F132B1" w:rsidRPr="00F132B1">
        <w:rPr>
          <w:highlight w:val="lightGray"/>
        </w:rPr>
        <w:t xml:space="preserve">to </w:t>
      </w:r>
      <w:r w:rsidRPr="00F132B1">
        <w:rPr>
          <w:highlight w:val="lightGray"/>
        </w:rPr>
        <w:t xml:space="preserve">provide rationale on their admittance allocation methodology upon state regulator request. </w:t>
      </w:r>
    </w:p>
    <w:p w14:paraId="4C27DCC8" w14:textId="5A886791" w:rsidR="00041A50" w:rsidRDefault="00041A50" w:rsidP="00041A50">
      <w:pPr>
        <w:ind w:left="720" w:hanging="720"/>
        <w:jc w:val="both"/>
      </w:pPr>
      <w:r w:rsidRPr="00F132B1">
        <w:rPr>
          <w:highlight w:val="lightGray"/>
        </w:rPr>
        <w:t>P29</w:t>
      </w:r>
      <w:r w:rsidRPr="00F132B1">
        <w:rPr>
          <w:highlight w:val="lightGray"/>
        </w:rPr>
        <w:tab/>
        <w:t>The revisions limit the disclosure to reporting entities with admitted net negative IMR.</w:t>
      </w:r>
      <w:r>
        <w:t xml:space="preserve"> </w:t>
      </w:r>
    </w:p>
    <w:p w14:paraId="3F7526F5" w14:textId="7A60E5F2" w:rsidR="00041A50" w:rsidRDefault="00041A50" w:rsidP="00041A50">
      <w:pPr>
        <w:ind w:left="720" w:hanging="720"/>
        <w:jc w:val="both"/>
      </w:pPr>
      <w:r>
        <w:t>P30</w:t>
      </w:r>
      <w:r>
        <w:tab/>
        <w:t>Revisions clarify that the proof of reinvestment is only required for entities that want to defer IMR current year net realized losses that exceed current year realized gains.</w:t>
      </w:r>
    </w:p>
    <w:p w14:paraId="6B3FA505" w14:textId="730F6FBE" w:rsidR="001A241F" w:rsidRDefault="001A241F">
      <w:r>
        <w:br w:type="page"/>
      </w:r>
    </w:p>
    <w:p w14:paraId="6D1EC3D6" w14:textId="4418FDC9" w:rsidR="00CE45C7" w:rsidRPr="00F132B1" w:rsidRDefault="00CE45C7" w:rsidP="00CE45C7">
      <w:pPr>
        <w:spacing w:after="0"/>
        <w:rPr>
          <w:b/>
          <w:bCs/>
          <w:i/>
          <w:iCs/>
          <w:u w:val="single"/>
        </w:rPr>
      </w:pPr>
      <w:r>
        <w:rPr>
          <w:b/>
          <w:bCs/>
          <w:i/>
          <w:iCs/>
          <w:u w:val="single"/>
        </w:rPr>
        <w:lastRenderedPageBreak/>
        <w:t>Issue Paper</w:t>
      </w:r>
      <w:r w:rsidR="00001B73">
        <w:rPr>
          <w:b/>
          <w:bCs/>
          <w:i/>
          <w:iCs/>
          <w:u w:val="single"/>
        </w:rPr>
        <w:t xml:space="preserve"> No. XX</w:t>
      </w:r>
      <w:r w:rsidRPr="00F132B1">
        <w:rPr>
          <w:b/>
          <w:bCs/>
          <w:i/>
          <w:iCs/>
          <w:u w:val="single"/>
        </w:rPr>
        <w:t>—</w:t>
      </w:r>
      <w:r w:rsidR="00001B73">
        <w:rPr>
          <w:b/>
          <w:bCs/>
          <w:i/>
          <w:iCs/>
          <w:u w:val="single"/>
        </w:rPr>
        <w:t>Interest Maintenance Reserve</w:t>
      </w:r>
    </w:p>
    <w:p w14:paraId="5B77C516" w14:textId="7183AAB9" w:rsidR="00153146" w:rsidRDefault="00CE45C7" w:rsidP="00CE45C7">
      <w:pPr>
        <w:spacing w:after="240"/>
        <w:jc w:val="both"/>
        <w:rPr>
          <w:i/>
          <w:iCs/>
        </w:rPr>
      </w:pPr>
      <w:r>
        <w:rPr>
          <w:i/>
          <w:iCs/>
        </w:rPr>
        <w:t xml:space="preserve">Note: </w:t>
      </w:r>
      <w:r w:rsidR="00001B73">
        <w:rPr>
          <w:i/>
          <w:iCs/>
        </w:rPr>
        <w:t xml:space="preserve">Corresponding revisions to match the SSAP edits have been incorporated. These are not duplicated below. </w:t>
      </w:r>
      <w:r w:rsidR="00B27F51">
        <w:rPr>
          <w:i/>
          <w:iCs/>
        </w:rPr>
        <w:t xml:space="preserve">(The citations to the SSAP within the issue paper indicate instances in which the paragraphs should agree.) </w:t>
      </w:r>
      <w:r w:rsidR="00DA0B0B">
        <w:rPr>
          <w:i/>
          <w:iCs/>
        </w:rPr>
        <w:t xml:space="preserve">The changes in this document are tracked. </w:t>
      </w:r>
    </w:p>
    <w:p w14:paraId="6E59ADB0" w14:textId="4D04D013" w:rsidR="00BB4DAD" w:rsidRPr="00BB4DAD" w:rsidRDefault="00153146" w:rsidP="00BB4DAD">
      <w:pPr>
        <w:spacing w:after="240"/>
        <w:ind w:left="720" w:hanging="720"/>
        <w:jc w:val="both"/>
      </w:pPr>
      <w:r w:rsidRPr="00BB4DAD">
        <w:t>P9-12</w:t>
      </w:r>
      <w:r w:rsidRPr="00BB4DAD">
        <w:tab/>
        <w:t xml:space="preserve">Expanded and clarified guidance on the IMR definition as well as historical guidance on IMR, and </w:t>
      </w:r>
      <w:r w:rsidR="00E51117" w:rsidRPr="00BB4DAD">
        <w:t xml:space="preserve">discussions on this initial item. </w:t>
      </w:r>
      <w:r w:rsidR="00B35C37">
        <w:t xml:space="preserve">These revisions do not reflect the full extent of the ACLI proposed edits. </w:t>
      </w:r>
      <w:r w:rsidR="005A4618">
        <w:t xml:space="preserve">Some of the ACLI edits cited development of the proof of reinvestment, which occurred subsequently to the discussion of the definition in agenda item </w:t>
      </w:r>
      <w:r w:rsidR="00470253">
        <w:t>#</w:t>
      </w:r>
      <w:r w:rsidR="005A4618">
        <w:t>2025-03</w:t>
      </w:r>
      <w:r w:rsidR="00470253">
        <w:t xml:space="preserve">, which is the focus of this section. </w:t>
      </w:r>
      <w:r w:rsidR="00683E28">
        <w:t xml:space="preserve">Further discussion on admittance will be captured in the issue paper after the Working Group </w:t>
      </w:r>
      <w:r w:rsidR="003A74E0">
        <w:t xml:space="preserve">provides direction </w:t>
      </w:r>
      <w:r w:rsidR="00163979">
        <w:t xml:space="preserve">on this topic. </w:t>
      </w:r>
    </w:p>
    <w:p w14:paraId="504BE533" w14:textId="0C59B883" w:rsidR="00CE45C7" w:rsidRDefault="00BB4DAD" w:rsidP="007D39C2">
      <w:pPr>
        <w:spacing w:after="240"/>
        <w:ind w:left="720" w:hanging="720"/>
        <w:jc w:val="both"/>
      </w:pPr>
      <w:r w:rsidRPr="007D39C2">
        <w:t>P44</w:t>
      </w:r>
      <w:r w:rsidRPr="007D39C2">
        <w:tab/>
      </w:r>
      <w:r w:rsidR="00153146" w:rsidRPr="007D39C2">
        <w:t xml:space="preserve"> </w:t>
      </w:r>
      <w:r w:rsidRPr="007D39C2">
        <w:t xml:space="preserve">Clarified that the beginning NAIC designation is when </w:t>
      </w:r>
      <w:r w:rsidR="007D39C2" w:rsidRPr="007D39C2">
        <w:t xml:space="preserve">an investment is </w:t>
      </w:r>
      <w:r w:rsidRPr="007D39C2">
        <w:t xml:space="preserve">acquired and the ending designation is when disposed. </w:t>
      </w:r>
    </w:p>
    <w:p w14:paraId="7F49B2A2" w14:textId="0A8D36D9" w:rsidR="00102242" w:rsidRDefault="00102242" w:rsidP="007D39C2">
      <w:pPr>
        <w:spacing w:after="240"/>
        <w:ind w:left="720" w:hanging="720"/>
        <w:jc w:val="both"/>
      </w:pPr>
      <w:r>
        <w:t>P66-68 Minor edits to clarify that the separate account assess</w:t>
      </w:r>
      <w:r w:rsidR="008D71FD">
        <w:t xml:space="preserve">ment </w:t>
      </w:r>
      <w:r>
        <w:t xml:space="preserve">is on a </w:t>
      </w:r>
      <w:r w:rsidR="008D71FD">
        <w:t>“</w:t>
      </w:r>
      <w:r>
        <w:t>per filed</w:t>
      </w:r>
      <w:r w:rsidR="0091477D">
        <w:t>”</w:t>
      </w:r>
      <w:r>
        <w:t xml:space="preserve"> separate account blank basis</w:t>
      </w:r>
      <w:r w:rsidR="004D5303">
        <w:t xml:space="preserve">. </w:t>
      </w:r>
    </w:p>
    <w:p w14:paraId="3154DA42" w14:textId="70DDB817" w:rsidR="004D5303" w:rsidRDefault="004D5303" w:rsidP="007D39C2">
      <w:pPr>
        <w:spacing w:after="240"/>
        <w:ind w:left="720" w:hanging="720"/>
        <w:jc w:val="both"/>
      </w:pPr>
      <w:r>
        <w:t>P82</w:t>
      </w:r>
      <w:r>
        <w:tab/>
        <w:t xml:space="preserve">Deleted </w:t>
      </w:r>
      <w:r w:rsidR="000736EE">
        <w:t xml:space="preserve">2025 annual statement instruction guidance included only for </w:t>
      </w:r>
      <w:r w:rsidR="000D657C">
        <w:t xml:space="preserve">initial </w:t>
      </w:r>
      <w:r w:rsidR="000736EE">
        <w:t xml:space="preserve">exposure </w:t>
      </w:r>
      <w:r w:rsidR="00807308">
        <w:t xml:space="preserve">and assessment </w:t>
      </w:r>
      <w:r w:rsidR="000736EE">
        <w:t xml:space="preserve">purposes. </w:t>
      </w:r>
    </w:p>
    <w:p w14:paraId="2A0C2BB8" w14:textId="502C31AC" w:rsidR="00283E1A" w:rsidRDefault="00283E1A" w:rsidP="007D39C2">
      <w:pPr>
        <w:spacing w:after="240"/>
        <w:ind w:left="720" w:hanging="720"/>
        <w:jc w:val="both"/>
      </w:pPr>
      <w:r>
        <w:t>P91</w:t>
      </w:r>
      <w:r>
        <w:tab/>
        <w:t xml:space="preserve">Deleted 2025 </w:t>
      </w:r>
      <w:r w:rsidR="00CE5225">
        <w:t>instruction guidance for specific investment amortization timeframes included only for exposure and assessment purposes</w:t>
      </w:r>
      <w:r w:rsidR="005E5326">
        <w:t xml:space="preserve">. </w:t>
      </w:r>
    </w:p>
    <w:p w14:paraId="6A1052AF" w14:textId="0136D0EA" w:rsidR="006C34B6" w:rsidRDefault="006C34B6" w:rsidP="007D39C2">
      <w:pPr>
        <w:spacing w:after="240"/>
        <w:ind w:left="720" w:hanging="720"/>
        <w:jc w:val="both"/>
      </w:pPr>
      <w:r>
        <w:t>P107</w:t>
      </w:r>
      <w:r w:rsidR="00DB266A">
        <w:t>c</w:t>
      </w:r>
      <w:r w:rsidR="00DB266A">
        <w:tab/>
        <w:t xml:space="preserve">Included comments to address the ACLI suggested change to the proof of reinvestment, where </w:t>
      </w:r>
      <w:r w:rsidR="00CB427C">
        <w:t>realized losses recognized as capital losses</w:t>
      </w:r>
      <w:r w:rsidR="002B0F65">
        <w:t xml:space="preserve"> as a known liquidity sale reduced the available proceeds for reinvestment. </w:t>
      </w:r>
      <w:r>
        <w:tab/>
      </w:r>
    </w:p>
    <w:p w14:paraId="3D75A394" w14:textId="2B81EFD7" w:rsidR="00E80811" w:rsidRDefault="00E80811" w:rsidP="007D39C2">
      <w:pPr>
        <w:spacing w:after="240"/>
        <w:ind w:left="720" w:hanging="720"/>
        <w:jc w:val="both"/>
      </w:pPr>
      <w:r>
        <w:t>P108</w:t>
      </w:r>
      <w:r>
        <w:tab/>
      </w:r>
      <w:r w:rsidR="00DF4602">
        <w:t xml:space="preserve">Edits to clarify the proof guidance, noting that it focuses on current year negative IMR realized losses, and including reference to the two exceptions on when net negative IMR can be increased even if a company does not complete or fails the proof. </w:t>
      </w:r>
    </w:p>
    <w:p w14:paraId="124EAC6F" w14:textId="3BB9A2E9" w:rsidR="00DF4602" w:rsidRDefault="00DF4602" w:rsidP="007D39C2">
      <w:pPr>
        <w:spacing w:after="240"/>
        <w:ind w:left="720" w:hanging="720"/>
        <w:jc w:val="both"/>
      </w:pPr>
      <w:r>
        <w:t xml:space="preserve">Appendix </w:t>
      </w:r>
      <w:r w:rsidR="007A28CE">
        <w:t>B</w:t>
      </w:r>
      <w:r w:rsidR="002C73C6">
        <w:t>/C</w:t>
      </w:r>
      <w:r w:rsidR="007A28CE">
        <w:t xml:space="preserve"> – Proof of Reinvestment – General Account</w:t>
      </w:r>
      <w:r w:rsidR="002C73C6">
        <w:t xml:space="preserve"> &amp; Separate Account</w:t>
      </w:r>
    </w:p>
    <w:p w14:paraId="63DD1658" w14:textId="6EFEB6CE" w:rsidR="002C73C6" w:rsidRPr="007D39C2" w:rsidRDefault="002C73C6" w:rsidP="002C73C6">
      <w:pPr>
        <w:pStyle w:val="ListParagraph"/>
        <w:numPr>
          <w:ilvl w:val="0"/>
          <w:numId w:val="1"/>
        </w:numPr>
        <w:spacing w:after="240"/>
        <w:jc w:val="both"/>
      </w:pPr>
      <w:r>
        <w:t xml:space="preserve">Added new line to remove </w:t>
      </w:r>
      <w:r w:rsidR="00EB570F">
        <w:t xml:space="preserve">known liquidity sales recognized as capital losses from the bond and mortgage loan proceeds, reducing the total </w:t>
      </w:r>
      <w:r w:rsidR="000864E9">
        <w:t xml:space="preserve">of proceeds from fixed income investments sold. </w:t>
      </w:r>
      <w:r w:rsidR="002F0333">
        <w:t xml:space="preserve">This has resulted with various revisions throughout. </w:t>
      </w:r>
    </w:p>
    <w:p w14:paraId="46D17914" w14:textId="77777777" w:rsidR="00CE45C7" w:rsidRDefault="00CE45C7" w:rsidP="00041A50">
      <w:pPr>
        <w:ind w:left="720" w:hanging="720"/>
        <w:jc w:val="both"/>
      </w:pPr>
    </w:p>
    <w:p w14:paraId="4C15A8CA" w14:textId="0D4FD605" w:rsidR="003537BC" w:rsidRDefault="00A1409A" w:rsidP="00DA0B0B">
      <w:pPr>
        <w:spacing w:after="0" w:line="240" w:lineRule="auto"/>
        <w:rPr>
          <w:b/>
          <w:bCs/>
          <w:i/>
          <w:iCs/>
          <w:u w:val="single"/>
        </w:rPr>
      </w:pPr>
      <w:r>
        <w:rPr>
          <w:b/>
          <w:bCs/>
          <w:i/>
          <w:iCs/>
          <w:u w:val="single"/>
        </w:rPr>
        <w:br w:type="page"/>
      </w:r>
      <w:r w:rsidR="00DB6EE0">
        <w:rPr>
          <w:b/>
          <w:bCs/>
          <w:i/>
          <w:iCs/>
          <w:u w:val="single"/>
        </w:rPr>
        <w:lastRenderedPageBreak/>
        <w:t>IMR Revisions to Other SSAPs</w:t>
      </w:r>
    </w:p>
    <w:p w14:paraId="2AE4EF12" w14:textId="2D4CE289" w:rsidR="00DA0B0B" w:rsidRPr="00DA0B0B" w:rsidRDefault="00DA0B0B" w:rsidP="003A74E0">
      <w:pPr>
        <w:rPr>
          <w:i/>
          <w:iCs/>
        </w:rPr>
      </w:pPr>
      <w:r w:rsidRPr="00DA0B0B">
        <w:rPr>
          <w:i/>
          <w:iCs/>
        </w:rPr>
        <w:t>As this document included tracked changes to the SSAPs, the edits incorporated from the exposure are shaded</w:t>
      </w:r>
      <w:r w:rsidR="008F7D05">
        <w:rPr>
          <w:i/>
          <w:iCs/>
        </w:rPr>
        <w:t xml:space="preserve"> (yellow)</w:t>
      </w:r>
      <w:r w:rsidRPr="00DA0B0B">
        <w:rPr>
          <w:i/>
          <w:iCs/>
        </w:rPr>
        <w:t xml:space="preserve">. </w:t>
      </w:r>
    </w:p>
    <w:p w14:paraId="639A9F86" w14:textId="28982EFB" w:rsidR="001E3E1C" w:rsidRDefault="001E3E1C" w:rsidP="009C1FB3">
      <w:pPr>
        <w:spacing w:after="0"/>
        <w:jc w:val="both"/>
        <w:rPr>
          <w:b/>
          <w:bCs/>
          <w:i/>
          <w:iCs/>
          <w:u w:val="single"/>
        </w:rPr>
      </w:pPr>
      <w:r w:rsidRPr="004C0620">
        <w:rPr>
          <w:b/>
          <w:bCs/>
          <w:i/>
          <w:iCs/>
          <w:u w:val="single"/>
        </w:rPr>
        <w:t>SSAP No. 26, P</w:t>
      </w:r>
      <w:r w:rsidR="004C0620" w:rsidRPr="004C0620">
        <w:rPr>
          <w:b/>
          <w:bCs/>
          <w:i/>
          <w:iCs/>
          <w:u w:val="single"/>
        </w:rPr>
        <w:t xml:space="preserve">17: </w:t>
      </w:r>
      <w:r w:rsidR="004C0620" w:rsidRPr="004C0620">
        <w:t>Minor edit to exclude foreign exchange gains and losses.</w:t>
      </w:r>
      <w:r w:rsidR="004C0620">
        <w:rPr>
          <w:b/>
          <w:bCs/>
          <w:i/>
          <w:iCs/>
          <w:u w:val="single"/>
        </w:rPr>
        <w:t xml:space="preserve"> </w:t>
      </w:r>
    </w:p>
    <w:p w14:paraId="7AEB5CFE" w14:textId="77777777" w:rsidR="00465E4A" w:rsidRDefault="00465E4A" w:rsidP="009C1FB3">
      <w:pPr>
        <w:spacing w:after="0"/>
        <w:jc w:val="both"/>
        <w:rPr>
          <w:b/>
          <w:bCs/>
          <w:i/>
          <w:iCs/>
          <w:u w:val="single"/>
        </w:rPr>
      </w:pPr>
    </w:p>
    <w:p w14:paraId="01999DBB" w14:textId="02FB0181" w:rsidR="004C0620" w:rsidRDefault="004C0620" w:rsidP="009C1FB3">
      <w:pPr>
        <w:spacing w:after="0"/>
        <w:jc w:val="both"/>
      </w:pPr>
      <w:r>
        <w:rPr>
          <w:b/>
          <w:bCs/>
          <w:i/>
          <w:iCs/>
          <w:u w:val="single"/>
        </w:rPr>
        <w:t>SSAP No. 32</w:t>
      </w:r>
      <w:r w:rsidR="00766C88">
        <w:rPr>
          <w:b/>
          <w:bCs/>
          <w:i/>
          <w:iCs/>
          <w:u w:val="single"/>
        </w:rPr>
        <w:t xml:space="preserve">: </w:t>
      </w:r>
      <w:r w:rsidR="00766C88" w:rsidRPr="00766C88">
        <w:t xml:space="preserve">Minor edit to update paragraph reference from 32 to 33. </w:t>
      </w:r>
    </w:p>
    <w:p w14:paraId="371E872D" w14:textId="77777777" w:rsidR="00A1409A" w:rsidRDefault="00A1409A" w:rsidP="009C1FB3">
      <w:pPr>
        <w:spacing w:after="0"/>
        <w:jc w:val="both"/>
      </w:pPr>
    </w:p>
    <w:p w14:paraId="1A9E44BA" w14:textId="6DC1DF8B" w:rsidR="00766C88" w:rsidRDefault="00766C88" w:rsidP="009C1FB3">
      <w:pPr>
        <w:spacing w:after="0"/>
        <w:jc w:val="both"/>
      </w:pPr>
      <w:r w:rsidRPr="009C1FB3">
        <w:rPr>
          <w:b/>
          <w:bCs/>
          <w:u w:val="single"/>
        </w:rPr>
        <w:t>SSAP No. 41, P12</w:t>
      </w:r>
      <w:r w:rsidRPr="00F57E09">
        <w:t xml:space="preserve">: Minor edit </w:t>
      </w:r>
      <w:r w:rsidR="00F57E09" w:rsidRPr="00F57E09">
        <w:t>a</w:t>
      </w:r>
      <w:r w:rsidR="00F57E09">
        <w:t xml:space="preserve">dd the word “allocated” </w:t>
      </w:r>
      <w:r w:rsidR="009C1FB3">
        <w:t>(where unrealized gains and losses are fully allocated to the AVR</w:t>
      </w:r>
      <w:r w:rsidR="008F7D05">
        <w:t>…</w:t>
      </w:r>
      <w:r w:rsidR="009C1FB3">
        <w:t>)</w:t>
      </w:r>
    </w:p>
    <w:p w14:paraId="7953369E" w14:textId="77777777" w:rsidR="00465E4A" w:rsidRDefault="00465E4A" w:rsidP="009C1FB3">
      <w:pPr>
        <w:spacing w:after="0"/>
        <w:jc w:val="both"/>
      </w:pPr>
    </w:p>
    <w:p w14:paraId="3FA7F629" w14:textId="4A7A6DB3" w:rsidR="00FC1498" w:rsidRPr="009B4FAC" w:rsidRDefault="00465E4A" w:rsidP="001858AA">
      <w:pPr>
        <w:spacing w:after="0"/>
        <w:jc w:val="both"/>
        <w:rPr>
          <w:rFonts w:ascii="Calibri" w:hAnsi="Calibri" w:cs="Calibri"/>
          <w:bCs/>
          <w:szCs w:val="22"/>
        </w:rPr>
      </w:pPr>
      <w:r w:rsidRPr="00B13941">
        <w:rPr>
          <w:b/>
          <w:bCs/>
          <w:u w:val="single"/>
        </w:rPr>
        <w:t>SSAP No. 86</w:t>
      </w:r>
      <w:r w:rsidR="00443101" w:rsidRPr="00B13941">
        <w:rPr>
          <w:b/>
          <w:bCs/>
          <w:u w:val="single"/>
        </w:rPr>
        <w:t>, P24</w:t>
      </w:r>
      <w:r w:rsidR="00443101">
        <w:t xml:space="preserve">: </w:t>
      </w:r>
      <w:r w:rsidR="001858AA">
        <w:t xml:space="preserve">Revisions </w:t>
      </w:r>
      <w:r w:rsidR="0031530A">
        <w:t xml:space="preserve">provide clarity on when derivative gains and losses from accounting-effective hedges are permitted to the IMR. </w:t>
      </w:r>
      <w:r w:rsidR="00781B17">
        <w:t xml:space="preserve">The guidance removes </w:t>
      </w:r>
      <w:r w:rsidR="006356FF">
        <w:t>ambiguity and</w:t>
      </w:r>
      <w:r w:rsidR="00781B17">
        <w:t xml:space="preserve"> directs that if the hedged item is not terminated, then the derivative gain or loss adjusts the basis of the hedged item. It is only when the hedged item is terminated</w:t>
      </w:r>
      <w:r w:rsidR="006356FF">
        <w:t xml:space="preserve"> with a realized gain/loss that is allocated to IMR </w:t>
      </w:r>
      <w:r w:rsidR="00A71821">
        <w:t>for which</w:t>
      </w:r>
      <w:r w:rsidR="006356FF">
        <w:t xml:space="preserve"> the derivative gain/loss shall </w:t>
      </w:r>
      <w:r w:rsidR="00A71821">
        <w:t xml:space="preserve">also </w:t>
      </w:r>
      <w:r w:rsidR="006356FF">
        <w:t xml:space="preserve">be allocated to IMR. With these edits, </w:t>
      </w:r>
      <w:r w:rsidR="00C92827">
        <w:t xml:space="preserve">consistency revisions have been proposed to update the SSAP No. 86 Exhibit B guidance. </w:t>
      </w:r>
    </w:p>
    <w:p w14:paraId="066D0352" w14:textId="77777777" w:rsidR="001D2822" w:rsidRPr="00F57E09" w:rsidRDefault="001D2822" w:rsidP="009C1FB3">
      <w:pPr>
        <w:spacing w:after="0"/>
        <w:jc w:val="both"/>
        <w:rPr>
          <w:b/>
          <w:bCs/>
          <w:i/>
          <w:iCs/>
          <w:u w:val="single"/>
        </w:rPr>
      </w:pPr>
    </w:p>
    <w:p w14:paraId="60039961" w14:textId="0A0CB177" w:rsidR="005611E8" w:rsidRDefault="005611E8" w:rsidP="005611E8">
      <w:pPr>
        <w:spacing w:after="0"/>
        <w:jc w:val="both"/>
      </w:pPr>
      <w:r w:rsidRPr="00B13941">
        <w:rPr>
          <w:b/>
          <w:bCs/>
          <w:u w:val="single"/>
        </w:rPr>
        <w:t>SSAP No. 86, P</w:t>
      </w:r>
      <w:r>
        <w:rPr>
          <w:b/>
          <w:bCs/>
          <w:u w:val="single"/>
        </w:rPr>
        <w:t>63</w:t>
      </w:r>
      <w:r>
        <w:t xml:space="preserve">: </w:t>
      </w:r>
      <w:r w:rsidR="003912EE">
        <w:t xml:space="preserve">Edits to capture </w:t>
      </w:r>
      <w:r w:rsidR="009E7EE5">
        <w:t>how IMR and AVR shall be allocated for the cash component. (These edits mirror what was included in SSAP No. 7</w:t>
      </w:r>
      <w:r w:rsidR="00A1409A">
        <w:t>, P10i</w:t>
      </w:r>
      <w:r w:rsidR="009E7EE5">
        <w:t xml:space="preserve">.) </w:t>
      </w:r>
      <w:r>
        <w:t xml:space="preserve"> </w:t>
      </w:r>
    </w:p>
    <w:p w14:paraId="5615AC60" w14:textId="77777777" w:rsidR="00A71821" w:rsidRDefault="00A71821" w:rsidP="005611E8">
      <w:pPr>
        <w:spacing w:after="0"/>
        <w:jc w:val="both"/>
      </w:pPr>
    </w:p>
    <w:p w14:paraId="7042D910" w14:textId="2934A9EF" w:rsidR="00B87CCE" w:rsidRPr="00F132B1" w:rsidRDefault="00B87CCE" w:rsidP="00B87CCE">
      <w:pPr>
        <w:spacing w:after="0"/>
        <w:rPr>
          <w:b/>
          <w:bCs/>
          <w:i/>
          <w:iCs/>
          <w:u w:val="single"/>
        </w:rPr>
      </w:pPr>
      <w:r>
        <w:rPr>
          <w:b/>
          <w:bCs/>
          <w:i/>
          <w:iCs/>
          <w:u w:val="single"/>
        </w:rPr>
        <w:t>IMR – Reporting Revisions</w:t>
      </w:r>
    </w:p>
    <w:p w14:paraId="0CCC6529" w14:textId="77777777" w:rsidR="002D1673" w:rsidRPr="00DA0B0B" w:rsidRDefault="002D1673" w:rsidP="002D1673">
      <w:pPr>
        <w:rPr>
          <w:i/>
          <w:iCs/>
        </w:rPr>
      </w:pPr>
      <w:r w:rsidRPr="00DA0B0B">
        <w:rPr>
          <w:i/>
          <w:iCs/>
        </w:rPr>
        <w:t>As this document included tracked changes to the SSAPs, the edits incorporated from the exposure are shaded</w:t>
      </w:r>
      <w:r>
        <w:rPr>
          <w:i/>
          <w:iCs/>
        </w:rPr>
        <w:t xml:space="preserve"> (yellow)</w:t>
      </w:r>
      <w:r w:rsidRPr="00DA0B0B">
        <w:rPr>
          <w:i/>
          <w:iCs/>
        </w:rPr>
        <w:t xml:space="preserve">. </w:t>
      </w:r>
    </w:p>
    <w:p w14:paraId="7EF3E262" w14:textId="21619845" w:rsidR="00545670" w:rsidRDefault="00545670" w:rsidP="00A16515">
      <w:pPr>
        <w:spacing w:after="0"/>
        <w:jc w:val="both"/>
        <w:rPr>
          <w:u w:val="single"/>
        </w:rPr>
      </w:pPr>
      <w:r>
        <w:rPr>
          <w:u w:val="single"/>
        </w:rPr>
        <w:t>Asset &amp; Liability Pages:</w:t>
      </w:r>
      <w:r w:rsidRPr="00A43AF2">
        <w:t xml:space="preserve"> </w:t>
      </w:r>
      <w:r w:rsidR="00A43AF2">
        <w:t>Note</w:t>
      </w:r>
      <w:r w:rsidRPr="00A43AF2">
        <w:t xml:space="preserve"> has been included that the new reporting lines </w:t>
      </w:r>
      <w:r w:rsidR="007A2AD6">
        <w:t xml:space="preserve">for </w:t>
      </w:r>
      <w:r w:rsidRPr="00A43AF2">
        <w:t xml:space="preserve">negative IMR and deferred derivative </w:t>
      </w:r>
      <w:r w:rsidR="00A43AF2" w:rsidRPr="00A43AF2">
        <w:t>assets and liabilities will be captured in both the life and separate account blanks.</w:t>
      </w:r>
      <w:r w:rsidR="00A43AF2">
        <w:rPr>
          <w:u w:val="single"/>
        </w:rPr>
        <w:t xml:space="preserve"> </w:t>
      </w:r>
    </w:p>
    <w:p w14:paraId="54DE5860" w14:textId="77777777" w:rsidR="007A2AD6" w:rsidRDefault="007A2AD6" w:rsidP="00A16515">
      <w:pPr>
        <w:spacing w:after="0"/>
        <w:jc w:val="both"/>
        <w:rPr>
          <w:u w:val="single"/>
        </w:rPr>
      </w:pPr>
    </w:p>
    <w:p w14:paraId="74939334" w14:textId="5A89F144" w:rsidR="007A2AD6" w:rsidRDefault="007A2AD6" w:rsidP="00A16515">
      <w:pPr>
        <w:spacing w:after="0"/>
        <w:jc w:val="both"/>
        <w:rPr>
          <w:u w:val="single"/>
        </w:rPr>
      </w:pPr>
      <w:r>
        <w:rPr>
          <w:u w:val="single"/>
        </w:rPr>
        <w:t>Exhibit of Capital Gains and Losses:</w:t>
      </w:r>
      <w:r w:rsidRPr="00E66515">
        <w:t xml:space="preserve"> No revisions have been incorporated. </w:t>
      </w:r>
      <w:r w:rsidR="007D0D71" w:rsidRPr="00E66515">
        <w:t xml:space="preserve">Per the ACLI comment letter, they are requesting to work with NAIC staff in the interim </w:t>
      </w:r>
      <w:r w:rsidR="009B7D69" w:rsidRPr="00E66515">
        <w:t>for refinement</w:t>
      </w:r>
      <w:r w:rsidR="00E66515" w:rsidRPr="00E66515">
        <w:t xml:space="preserve"> and clarifications.</w:t>
      </w:r>
      <w:r w:rsidR="00E66515">
        <w:rPr>
          <w:u w:val="single"/>
        </w:rPr>
        <w:t xml:space="preserve"> </w:t>
      </w:r>
    </w:p>
    <w:p w14:paraId="69233A3C" w14:textId="77777777" w:rsidR="00545670" w:rsidRDefault="00545670" w:rsidP="00A16515">
      <w:pPr>
        <w:spacing w:after="0"/>
        <w:jc w:val="both"/>
        <w:rPr>
          <w:u w:val="single"/>
        </w:rPr>
      </w:pPr>
    </w:p>
    <w:p w14:paraId="07292C72" w14:textId="6D40C71B" w:rsidR="00B87CCE" w:rsidRDefault="00B87CCE" w:rsidP="00A16515">
      <w:pPr>
        <w:spacing w:after="0"/>
        <w:jc w:val="both"/>
      </w:pPr>
      <w:r w:rsidRPr="00A16515">
        <w:rPr>
          <w:u w:val="single"/>
        </w:rPr>
        <w:t>Interest Maintenance Reserve</w:t>
      </w:r>
      <w:r w:rsidRPr="00B87CCE">
        <w:t xml:space="preserve">: </w:t>
      </w:r>
      <w:r w:rsidR="00775712">
        <w:t xml:space="preserve">The proposed new form for calculating the IMR has been expanded to capture the net amounts taken to IMR throughout the year, with a reporting line that illustrates the net realized losses removed from IMR </w:t>
      </w:r>
      <w:r w:rsidR="0057550F">
        <w:t xml:space="preserve">due to a reporting entity electing not to complete or failing the proof of reinvestment. </w:t>
      </w:r>
      <w:r w:rsidR="00F24FEB">
        <w:t xml:space="preserve">Additionally, a new adjustment line has been added to capture other adjustments from IMR, which is expected to capture IMR </w:t>
      </w:r>
      <w:r w:rsidR="00F24FEB">
        <w:lastRenderedPageBreak/>
        <w:t xml:space="preserve">impacts from transfers to/from the general account and separate account. The corresponding instructions have also been revised </w:t>
      </w:r>
      <w:r w:rsidR="00522C80">
        <w:t xml:space="preserve">to include instructions for the new lines and specify the calculation of the form. </w:t>
      </w:r>
    </w:p>
    <w:p w14:paraId="1EE12B14" w14:textId="77777777" w:rsidR="008F0766" w:rsidRDefault="008F0766" w:rsidP="00A16515">
      <w:pPr>
        <w:spacing w:after="0"/>
        <w:jc w:val="both"/>
      </w:pPr>
    </w:p>
    <w:p w14:paraId="35127C75" w14:textId="42AD9722" w:rsidR="00CF026D" w:rsidRDefault="008F0766" w:rsidP="008F0766">
      <w:pPr>
        <w:spacing w:after="0"/>
        <w:jc w:val="both"/>
      </w:pPr>
      <w:r>
        <w:rPr>
          <w:u w:val="single"/>
        </w:rPr>
        <w:t xml:space="preserve">New Modco &amp; FWH </w:t>
      </w:r>
      <w:r w:rsidR="00C33592">
        <w:rPr>
          <w:u w:val="single"/>
        </w:rPr>
        <w:t>Reporting</w:t>
      </w:r>
      <w:r>
        <w:rPr>
          <w:u w:val="single"/>
        </w:rPr>
        <w:t>:</w:t>
      </w:r>
      <w:r w:rsidRPr="00A43AF2">
        <w:t xml:space="preserve"> </w:t>
      </w:r>
      <w:r w:rsidR="00C33592">
        <w:t>This reporting guidance has been deleted. The proposed guidance would have detailed the reporting guidance for modco and FWH transactions</w:t>
      </w:r>
      <w:r w:rsidR="00D71928">
        <w:t xml:space="preserve"> throughout the reinsurance agreement. The ACLI comments proposed edits to limit the focus to IMR, but NAIC staff suggests a broader scope. With that, NAIC staff will propose to include in a subsequent reinsurance project. </w:t>
      </w:r>
    </w:p>
    <w:p w14:paraId="48904859" w14:textId="77777777" w:rsidR="00CF026D" w:rsidRDefault="00CF026D" w:rsidP="008F0766">
      <w:pPr>
        <w:spacing w:after="0"/>
        <w:jc w:val="both"/>
      </w:pPr>
    </w:p>
    <w:p w14:paraId="0ED0CE85" w14:textId="13E911CE" w:rsidR="00CF026D" w:rsidRDefault="00CF026D" w:rsidP="008F0766">
      <w:pPr>
        <w:spacing w:after="0"/>
        <w:jc w:val="both"/>
      </w:pPr>
      <w:r w:rsidRPr="00CF026D">
        <w:rPr>
          <w:u w:val="single"/>
        </w:rPr>
        <w:t>AVR Schedule</w:t>
      </w:r>
      <w:r>
        <w:t xml:space="preserve">: This reporting guidance has been added to illustrate corresponding revisions to the AVR. </w:t>
      </w:r>
      <w:r w:rsidR="004D1790">
        <w:t xml:space="preserve">These edits </w:t>
      </w:r>
      <w:r w:rsidR="003D1BE4">
        <w:t>provide broad guidance</w:t>
      </w:r>
      <w:r w:rsidR="00A7150C">
        <w:t xml:space="preserve"> with reference to SSAP No. 7</w:t>
      </w:r>
      <w:r w:rsidR="003D1BE4">
        <w:t xml:space="preserve">, with deletion </w:t>
      </w:r>
      <w:r w:rsidR="00A7150C">
        <w:t xml:space="preserve">of prior </w:t>
      </w:r>
      <w:r w:rsidR="003D1BE4">
        <w:t>guidance that has been removed and/or included in the SSAP.</w:t>
      </w:r>
      <w:r w:rsidR="00D90BF5">
        <w:t xml:space="preserve"> The AVR Treatment for Separate Accounts has also been updated to reflect previously adopted changes to the separate account. </w:t>
      </w:r>
      <w:r w:rsidR="00CB0C71">
        <w:t xml:space="preserve"> </w:t>
      </w:r>
    </w:p>
    <w:p w14:paraId="390A5CEF" w14:textId="77777777" w:rsidR="00CA4C56" w:rsidRDefault="00CA4C56" w:rsidP="008F0766">
      <w:pPr>
        <w:spacing w:after="0"/>
        <w:jc w:val="both"/>
      </w:pPr>
    </w:p>
    <w:p w14:paraId="488E6463" w14:textId="7509E5EC" w:rsidR="00CA4C56" w:rsidRDefault="00CA4C56" w:rsidP="008F0766">
      <w:pPr>
        <w:spacing w:after="0"/>
        <w:jc w:val="both"/>
      </w:pPr>
      <w:r w:rsidRPr="00D8012D">
        <w:rPr>
          <w:u w:val="single"/>
        </w:rPr>
        <w:t>Financial Statement Disclosures</w:t>
      </w:r>
      <w:r>
        <w:t xml:space="preserve">: A new summary has been added to detail the </w:t>
      </w:r>
      <w:r w:rsidR="00D8012D">
        <w:t xml:space="preserve">disclosure edits that will occur under SSAP No. 7. This includes identification of revisions to existing disclosures, as well as the new disclosures that will be included in a future blanks proposal. </w:t>
      </w:r>
      <w:r w:rsidR="00CF2F69" w:rsidRPr="00CF2F69">
        <w:rPr>
          <w:i/>
          <w:iCs/>
        </w:rPr>
        <w:t>(</w:t>
      </w:r>
      <w:r w:rsidR="00CF2F69">
        <w:rPr>
          <w:i/>
          <w:iCs/>
        </w:rPr>
        <w:t xml:space="preserve">The actual disclosures and </w:t>
      </w:r>
      <w:r w:rsidR="00CF2F69" w:rsidRPr="00CF2F69">
        <w:rPr>
          <w:i/>
          <w:iCs/>
        </w:rPr>
        <w:t>Illustrations will be developed in accordance with the blanks team with the subsequent blanks proposal.)</w:t>
      </w:r>
      <w:r w:rsidR="00CF2F69">
        <w:t xml:space="preserve"> </w:t>
      </w:r>
    </w:p>
    <w:p w14:paraId="3FCB2F86" w14:textId="77777777" w:rsidR="007A17C1" w:rsidRDefault="007A17C1" w:rsidP="008F0766">
      <w:pPr>
        <w:spacing w:after="0"/>
        <w:jc w:val="both"/>
      </w:pPr>
    </w:p>
    <w:p w14:paraId="3C223B29" w14:textId="7C816EC0" w:rsidR="008F0766" w:rsidRDefault="007A17C1" w:rsidP="008F0766">
      <w:pPr>
        <w:spacing w:after="0"/>
        <w:jc w:val="both"/>
      </w:pPr>
      <w:r w:rsidRPr="00A23D38">
        <w:rPr>
          <w:i/>
          <w:iCs/>
          <w:u w:val="single"/>
        </w:rPr>
        <w:t>Staff Note</w:t>
      </w:r>
      <w:r w:rsidRPr="00A23D38">
        <w:rPr>
          <w:i/>
          <w:iCs/>
        </w:rPr>
        <w:t xml:space="preserve">: </w:t>
      </w:r>
      <w:r w:rsidR="005271A7" w:rsidRPr="00A23D38">
        <w:rPr>
          <w:i/>
          <w:iCs/>
        </w:rPr>
        <w:t>Additional reporting revisions to capture the proof of reinvestment</w:t>
      </w:r>
      <w:r w:rsidR="00992B9A" w:rsidRPr="00A23D38">
        <w:rPr>
          <w:i/>
          <w:iCs/>
        </w:rPr>
        <w:t xml:space="preserve">, other new IMR disclosures (e.g., known liquidity sales) and general interrogatory attestations </w:t>
      </w:r>
      <w:r w:rsidR="00435ACF" w:rsidRPr="00A23D38">
        <w:rPr>
          <w:i/>
          <w:iCs/>
        </w:rPr>
        <w:t xml:space="preserve">stipulated in SSAP No. 7 will be developed and exposed by the blanks team </w:t>
      </w:r>
      <w:r w:rsidR="00A23D38">
        <w:rPr>
          <w:i/>
          <w:iCs/>
        </w:rPr>
        <w:t xml:space="preserve">in accordance with the blanks reporting guidelines </w:t>
      </w:r>
      <w:r w:rsidR="00435ACF" w:rsidRPr="00A23D38">
        <w:rPr>
          <w:i/>
          <w:iCs/>
        </w:rPr>
        <w:t xml:space="preserve">once the </w:t>
      </w:r>
      <w:r w:rsidR="00A23D38" w:rsidRPr="00A23D38">
        <w:rPr>
          <w:i/>
          <w:iCs/>
        </w:rPr>
        <w:t>blanks proposal has been directed</w:t>
      </w:r>
      <w:r w:rsidR="00A23D38">
        <w:t xml:space="preserve">. </w:t>
      </w:r>
    </w:p>
    <w:p w14:paraId="1D373983" w14:textId="77777777" w:rsidR="00541104" w:rsidRDefault="00541104" w:rsidP="008F0766">
      <w:pPr>
        <w:spacing w:after="0"/>
        <w:jc w:val="both"/>
      </w:pPr>
    </w:p>
    <w:p w14:paraId="12B2412F" w14:textId="39C2F35B" w:rsidR="00541104" w:rsidRPr="00F13A8F" w:rsidRDefault="00541104" w:rsidP="00541104">
      <w:pPr>
        <w:rPr>
          <w:rFonts w:ascii="Calibri" w:hAnsi="Calibri" w:cs="Calibri"/>
          <w:sz w:val="16"/>
          <w:szCs w:val="16"/>
        </w:rPr>
      </w:pPr>
      <w:r w:rsidRPr="00F13A8F">
        <w:rPr>
          <w:rStyle w:val="CommentReference"/>
          <w:rFonts w:cstheme="minorHAnsi"/>
        </w:rPr>
        <w:fldChar w:fldCharType="begin"/>
      </w:r>
      <w:r w:rsidRPr="00F13A8F">
        <w:rPr>
          <w:rStyle w:val="CommentReference"/>
          <w:rFonts w:cstheme="minorHAnsi"/>
        </w:rPr>
        <w:instrText xml:space="preserve"> FILENAME  \* Lower \p  \* MERGEFORMAT </w:instrText>
      </w:r>
      <w:r w:rsidRPr="00F13A8F">
        <w:rPr>
          <w:rStyle w:val="CommentReference"/>
          <w:rFonts w:cstheme="minorHAnsi"/>
        </w:rPr>
        <w:fldChar w:fldCharType="separate"/>
      </w:r>
      <w:r>
        <w:rPr>
          <w:rStyle w:val="CommentReference"/>
          <w:rFonts w:cstheme="minorHAnsi"/>
          <w:noProof/>
        </w:rPr>
        <w:t>https://naiconline.sharepoint.com/teams/frsstatutoryaccounting/national meetings/a. national meeting materials/2026/08-12-26 summer national meeting/hearing/imr alm hearing/2.1 - summary of revisions 7-2-2026.docx</w:t>
      </w:r>
      <w:r w:rsidRPr="00F13A8F">
        <w:rPr>
          <w:rStyle w:val="CommentReference"/>
          <w:rFonts w:cstheme="minorHAnsi"/>
        </w:rPr>
        <w:fldChar w:fldCharType="end"/>
      </w:r>
    </w:p>
    <w:p w14:paraId="00B74A83" w14:textId="77777777" w:rsidR="00541104" w:rsidRDefault="00541104" w:rsidP="008F0766">
      <w:pPr>
        <w:spacing w:after="0"/>
        <w:jc w:val="both"/>
        <w:rPr>
          <w:u w:val="single"/>
        </w:rPr>
      </w:pPr>
    </w:p>
    <w:p w14:paraId="584DCF9A" w14:textId="77777777" w:rsidR="008F0766" w:rsidRPr="00B87CCE" w:rsidRDefault="008F0766" w:rsidP="00A16515">
      <w:pPr>
        <w:spacing w:after="0"/>
        <w:jc w:val="both"/>
      </w:pPr>
    </w:p>
    <w:p w14:paraId="3FAF8888" w14:textId="0CC3D693" w:rsidR="003537BC" w:rsidRPr="00D508ED" w:rsidRDefault="003537BC" w:rsidP="003537BC">
      <w:pPr>
        <w:ind w:left="720" w:hanging="720"/>
        <w:jc w:val="both"/>
      </w:pPr>
    </w:p>
    <w:sectPr w:rsidR="003537BC" w:rsidRPr="00D508E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684CA" w14:textId="77777777" w:rsidR="00C67D70" w:rsidRDefault="00C67D70" w:rsidP="00D508ED">
      <w:pPr>
        <w:spacing w:after="0" w:line="240" w:lineRule="auto"/>
      </w:pPr>
      <w:r>
        <w:separator/>
      </w:r>
    </w:p>
  </w:endnote>
  <w:endnote w:type="continuationSeparator" w:id="0">
    <w:p w14:paraId="4684D599" w14:textId="77777777" w:rsidR="00C67D70" w:rsidRDefault="00C67D70" w:rsidP="00D50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D2AF" w14:textId="77777777" w:rsidR="00AC7702" w:rsidRDefault="00AC7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21112" w14:textId="58BAFFB1" w:rsidR="00146506" w:rsidRPr="0005347C" w:rsidRDefault="000932ED" w:rsidP="00AC7702">
    <w:pPr>
      <w:pStyle w:val="Footer"/>
      <w:ind w:hanging="540"/>
      <w:rPr>
        <w:sz w:val="20"/>
        <w:szCs w:val="20"/>
      </w:rPr>
    </w:pPr>
    <w:r w:rsidRPr="0005347C">
      <w:rPr>
        <w:rFonts w:ascii="Calibri" w:hAnsi="Calibri" w:cs="Calibri"/>
        <w:sz w:val="20"/>
        <w:szCs w:val="20"/>
      </w:rPr>
      <w:t>© 2026 National Association of Insurance Commissioners</w:t>
    </w:r>
    <w:r w:rsidR="0005347C">
      <w:rPr>
        <w:rFonts w:ascii="Calibri" w:hAnsi="Calibri" w:cs="Calibri"/>
        <w:sz w:val="20"/>
        <w:szCs w:val="20"/>
      </w:rPr>
      <w:tab/>
    </w:r>
    <w:r w:rsidRPr="0005347C">
      <w:rPr>
        <w:rFonts w:ascii="Calibri" w:hAnsi="Calibri" w:cs="Calibri"/>
        <w:sz w:val="20"/>
        <w:szCs w:val="20"/>
      </w:rPr>
      <w:fldChar w:fldCharType="begin"/>
    </w:r>
    <w:r w:rsidRPr="0005347C">
      <w:rPr>
        <w:rFonts w:ascii="Calibri" w:hAnsi="Calibri" w:cs="Calibri"/>
        <w:sz w:val="20"/>
        <w:szCs w:val="20"/>
      </w:rPr>
      <w:instrText xml:space="preserve"> PAGE   \* MERGEFORMAT </w:instrText>
    </w:r>
    <w:r w:rsidRPr="0005347C">
      <w:rPr>
        <w:rFonts w:ascii="Calibri" w:hAnsi="Calibri" w:cs="Calibri"/>
        <w:sz w:val="20"/>
        <w:szCs w:val="20"/>
      </w:rPr>
      <w:fldChar w:fldCharType="separate"/>
    </w:r>
    <w:r w:rsidRPr="0005347C">
      <w:rPr>
        <w:rFonts w:ascii="Calibri" w:hAnsi="Calibri" w:cs="Calibri"/>
        <w:sz w:val="20"/>
        <w:szCs w:val="20"/>
      </w:rPr>
      <w:t>15</w:t>
    </w:r>
    <w:r w:rsidRPr="0005347C">
      <w:rPr>
        <w:rFonts w:ascii="Calibri" w:hAnsi="Calibri" w:cs="Calibr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67AD0" w14:textId="77777777" w:rsidR="00AC7702" w:rsidRDefault="00AC7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220FA" w14:textId="77777777" w:rsidR="00C67D70" w:rsidRDefault="00C67D70" w:rsidP="00D508ED">
      <w:pPr>
        <w:spacing w:after="0" w:line="240" w:lineRule="auto"/>
      </w:pPr>
      <w:r>
        <w:separator/>
      </w:r>
    </w:p>
  </w:footnote>
  <w:footnote w:type="continuationSeparator" w:id="0">
    <w:p w14:paraId="137E29B1" w14:textId="77777777" w:rsidR="00C67D70" w:rsidRDefault="00C67D70" w:rsidP="00D50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53500" w14:textId="77777777" w:rsidR="00AC7702" w:rsidRDefault="00AC7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23CE" w14:textId="3B6F03B1" w:rsidR="00146506" w:rsidRPr="00146506" w:rsidRDefault="00146506" w:rsidP="00146506">
    <w:pPr>
      <w:pStyle w:val="Header"/>
      <w:jc w:val="right"/>
      <w:rPr>
        <w:rFonts w:ascii="Calibri" w:hAnsi="Calibri" w:cs="Calibri"/>
        <w:b/>
        <w:bCs/>
        <w:sz w:val="20"/>
        <w:szCs w:val="20"/>
      </w:rPr>
    </w:pPr>
    <w:r w:rsidRPr="00146506">
      <w:rPr>
        <w:rFonts w:ascii="Calibri" w:hAnsi="Calibri" w:cs="Calibri"/>
        <w:b/>
        <w:bCs/>
        <w:sz w:val="20"/>
        <w:szCs w:val="20"/>
      </w:rPr>
      <w:t xml:space="preserve">Attachment </w:t>
    </w:r>
    <w:r w:rsidR="00682289">
      <w:rPr>
        <w:rFonts w:ascii="Calibri" w:hAnsi="Calibri" w:cs="Calibri"/>
        <w:b/>
        <w:bCs/>
        <w:sz w:val="20"/>
        <w:szCs w:val="20"/>
      </w:rPr>
      <w:t>2.</w:t>
    </w:r>
    <w:r w:rsidRPr="00146506">
      <w:rPr>
        <w:rFonts w:ascii="Calibri" w:hAnsi="Calibri" w:cs="Calibri"/>
        <w:b/>
        <w:bCs/>
        <w:sz w:val="20"/>
        <w:szCs w:val="20"/>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3319E" w14:textId="77777777" w:rsidR="00AC7702" w:rsidRDefault="00AC7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2E7B53"/>
    <w:multiLevelType w:val="hybridMultilevel"/>
    <w:tmpl w:val="82B28412"/>
    <w:lvl w:ilvl="0" w:tplc="C5724EAE">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A330D2"/>
    <w:multiLevelType w:val="hybridMultilevel"/>
    <w:tmpl w:val="B450F4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6945AE0"/>
    <w:multiLevelType w:val="hybridMultilevel"/>
    <w:tmpl w:val="3192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4258563">
    <w:abstractNumId w:val="2"/>
  </w:num>
  <w:num w:numId="2" w16cid:durableId="2128810543">
    <w:abstractNumId w:val="1"/>
  </w:num>
  <w:num w:numId="3" w16cid:durableId="97625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8ED"/>
    <w:rsid w:val="00001B73"/>
    <w:rsid w:val="0003364B"/>
    <w:rsid w:val="00041A50"/>
    <w:rsid w:val="00047AF1"/>
    <w:rsid w:val="0005347C"/>
    <w:rsid w:val="000736EE"/>
    <w:rsid w:val="000864E9"/>
    <w:rsid w:val="000932ED"/>
    <w:rsid w:val="00097BC3"/>
    <w:rsid w:val="000D657C"/>
    <w:rsid w:val="000F5471"/>
    <w:rsid w:val="00102242"/>
    <w:rsid w:val="00146506"/>
    <w:rsid w:val="00153146"/>
    <w:rsid w:val="00163979"/>
    <w:rsid w:val="00170FB1"/>
    <w:rsid w:val="00176007"/>
    <w:rsid w:val="001858AA"/>
    <w:rsid w:val="001A241F"/>
    <w:rsid w:val="001A6527"/>
    <w:rsid w:val="001D1817"/>
    <w:rsid w:val="001D2822"/>
    <w:rsid w:val="001E3E1C"/>
    <w:rsid w:val="001E528A"/>
    <w:rsid w:val="002115EC"/>
    <w:rsid w:val="00214CFB"/>
    <w:rsid w:val="0025759F"/>
    <w:rsid w:val="002623C9"/>
    <w:rsid w:val="00276878"/>
    <w:rsid w:val="00283E1A"/>
    <w:rsid w:val="002A009E"/>
    <w:rsid w:val="002B0F65"/>
    <w:rsid w:val="002C0118"/>
    <w:rsid w:val="002C73C6"/>
    <w:rsid w:val="002D1673"/>
    <w:rsid w:val="002F0333"/>
    <w:rsid w:val="0031530A"/>
    <w:rsid w:val="003537BC"/>
    <w:rsid w:val="003912EE"/>
    <w:rsid w:val="003A74E0"/>
    <w:rsid w:val="003B26E1"/>
    <w:rsid w:val="003D1BE4"/>
    <w:rsid w:val="003D6FFF"/>
    <w:rsid w:val="003E6CA5"/>
    <w:rsid w:val="00410C83"/>
    <w:rsid w:val="00435ACF"/>
    <w:rsid w:val="0044248D"/>
    <w:rsid w:val="00443101"/>
    <w:rsid w:val="00465E4A"/>
    <w:rsid w:val="00470253"/>
    <w:rsid w:val="00487C10"/>
    <w:rsid w:val="00495072"/>
    <w:rsid w:val="004C0620"/>
    <w:rsid w:val="004D1790"/>
    <w:rsid w:val="004D5303"/>
    <w:rsid w:val="00522C80"/>
    <w:rsid w:val="005271A7"/>
    <w:rsid w:val="00541104"/>
    <w:rsid w:val="00545670"/>
    <w:rsid w:val="005611E8"/>
    <w:rsid w:val="0057550F"/>
    <w:rsid w:val="00597F2E"/>
    <w:rsid w:val="005A4618"/>
    <w:rsid w:val="005E341A"/>
    <w:rsid w:val="005E5326"/>
    <w:rsid w:val="006356FF"/>
    <w:rsid w:val="0063601E"/>
    <w:rsid w:val="00653900"/>
    <w:rsid w:val="00664474"/>
    <w:rsid w:val="00682289"/>
    <w:rsid w:val="00683E28"/>
    <w:rsid w:val="006C34B6"/>
    <w:rsid w:val="007501BF"/>
    <w:rsid w:val="00766C88"/>
    <w:rsid w:val="00775712"/>
    <w:rsid w:val="00781B17"/>
    <w:rsid w:val="007A17C1"/>
    <w:rsid w:val="007A28CE"/>
    <w:rsid w:val="007A2AD6"/>
    <w:rsid w:val="007D0D71"/>
    <w:rsid w:val="007D39C2"/>
    <w:rsid w:val="00807308"/>
    <w:rsid w:val="00810C3E"/>
    <w:rsid w:val="00843BA7"/>
    <w:rsid w:val="0086616E"/>
    <w:rsid w:val="008818E3"/>
    <w:rsid w:val="00890012"/>
    <w:rsid w:val="008A0BE9"/>
    <w:rsid w:val="008B6C45"/>
    <w:rsid w:val="008D71FD"/>
    <w:rsid w:val="008F0766"/>
    <w:rsid w:val="008F7D05"/>
    <w:rsid w:val="009136DF"/>
    <w:rsid w:val="0091477D"/>
    <w:rsid w:val="009925E1"/>
    <w:rsid w:val="00992B9A"/>
    <w:rsid w:val="009A7640"/>
    <w:rsid w:val="009B2352"/>
    <w:rsid w:val="009B6F45"/>
    <w:rsid w:val="009B7D69"/>
    <w:rsid w:val="009C1FB3"/>
    <w:rsid w:val="009E7EE5"/>
    <w:rsid w:val="00A13DCE"/>
    <w:rsid w:val="00A1409A"/>
    <w:rsid w:val="00A157D7"/>
    <w:rsid w:val="00A16515"/>
    <w:rsid w:val="00A23D38"/>
    <w:rsid w:val="00A43AF2"/>
    <w:rsid w:val="00A53A73"/>
    <w:rsid w:val="00A7150C"/>
    <w:rsid w:val="00A71821"/>
    <w:rsid w:val="00A71F36"/>
    <w:rsid w:val="00A74F2F"/>
    <w:rsid w:val="00AC7702"/>
    <w:rsid w:val="00AF4447"/>
    <w:rsid w:val="00B11A01"/>
    <w:rsid w:val="00B12576"/>
    <w:rsid w:val="00B13941"/>
    <w:rsid w:val="00B27F51"/>
    <w:rsid w:val="00B35C37"/>
    <w:rsid w:val="00B87CCE"/>
    <w:rsid w:val="00BB4DAD"/>
    <w:rsid w:val="00C33592"/>
    <w:rsid w:val="00C62078"/>
    <w:rsid w:val="00C6369B"/>
    <w:rsid w:val="00C63F3D"/>
    <w:rsid w:val="00C67D70"/>
    <w:rsid w:val="00C92827"/>
    <w:rsid w:val="00CA0091"/>
    <w:rsid w:val="00CA1CBC"/>
    <w:rsid w:val="00CA4C56"/>
    <w:rsid w:val="00CB0C71"/>
    <w:rsid w:val="00CB427C"/>
    <w:rsid w:val="00CE45C7"/>
    <w:rsid w:val="00CE5225"/>
    <w:rsid w:val="00CF026D"/>
    <w:rsid w:val="00CF2F69"/>
    <w:rsid w:val="00D508ED"/>
    <w:rsid w:val="00D60547"/>
    <w:rsid w:val="00D62766"/>
    <w:rsid w:val="00D71928"/>
    <w:rsid w:val="00D8012D"/>
    <w:rsid w:val="00D90BF5"/>
    <w:rsid w:val="00DA0B0B"/>
    <w:rsid w:val="00DB10E8"/>
    <w:rsid w:val="00DB266A"/>
    <w:rsid w:val="00DB6EE0"/>
    <w:rsid w:val="00DC4BA8"/>
    <w:rsid w:val="00DE7E53"/>
    <w:rsid w:val="00DF4602"/>
    <w:rsid w:val="00E5016E"/>
    <w:rsid w:val="00E51117"/>
    <w:rsid w:val="00E66515"/>
    <w:rsid w:val="00E766AB"/>
    <w:rsid w:val="00E80811"/>
    <w:rsid w:val="00EB1F72"/>
    <w:rsid w:val="00EB570F"/>
    <w:rsid w:val="00F11C87"/>
    <w:rsid w:val="00F132B1"/>
    <w:rsid w:val="00F24FEB"/>
    <w:rsid w:val="00F35609"/>
    <w:rsid w:val="00F57E09"/>
    <w:rsid w:val="00FA2A8D"/>
    <w:rsid w:val="00FB190C"/>
    <w:rsid w:val="00FC1498"/>
    <w:rsid w:val="00FD6A86"/>
    <w:rsid w:val="00FE40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C1A3B"/>
  <w15:chartTrackingRefBased/>
  <w15:docId w15:val="{D750EEE8-2959-4AE2-8185-9698AEC1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8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508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508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508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508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508E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508E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508E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508E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08E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508E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508E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508E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508E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508E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508E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508E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508ED"/>
    <w:rPr>
      <w:rFonts w:eastAsiaTheme="majorEastAsia" w:cstheme="majorBidi"/>
      <w:color w:val="272727" w:themeColor="text1" w:themeTint="D8"/>
    </w:rPr>
  </w:style>
  <w:style w:type="paragraph" w:styleId="Title">
    <w:name w:val="Title"/>
    <w:basedOn w:val="Normal"/>
    <w:next w:val="Normal"/>
    <w:link w:val="TitleChar"/>
    <w:uiPriority w:val="10"/>
    <w:qFormat/>
    <w:rsid w:val="00D508E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08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08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08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508ED"/>
    <w:pPr>
      <w:spacing w:before="160"/>
      <w:jc w:val="center"/>
    </w:pPr>
    <w:rPr>
      <w:i/>
      <w:iCs/>
      <w:color w:val="404040" w:themeColor="text1" w:themeTint="BF"/>
    </w:rPr>
  </w:style>
  <w:style w:type="character" w:customStyle="1" w:styleId="QuoteChar">
    <w:name w:val="Quote Char"/>
    <w:basedOn w:val="DefaultParagraphFont"/>
    <w:link w:val="Quote"/>
    <w:uiPriority w:val="29"/>
    <w:rsid w:val="00D508ED"/>
    <w:rPr>
      <w:i/>
      <w:iCs/>
      <w:color w:val="404040" w:themeColor="text1" w:themeTint="BF"/>
    </w:rPr>
  </w:style>
  <w:style w:type="paragraph" w:styleId="ListParagraph">
    <w:name w:val="List Paragraph"/>
    <w:basedOn w:val="Normal"/>
    <w:uiPriority w:val="34"/>
    <w:qFormat/>
    <w:rsid w:val="00D508ED"/>
    <w:pPr>
      <w:ind w:left="720"/>
      <w:contextualSpacing/>
    </w:pPr>
  </w:style>
  <w:style w:type="character" w:styleId="IntenseEmphasis">
    <w:name w:val="Intense Emphasis"/>
    <w:basedOn w:val="DefaultParagraphFont"/>
    <w:uiPriority w:val="21"/>
    <w:qFormat/>
    <w:rsid w:val="00D508ED"/>
    <w:rPr>
      <w:i/>
      <w:iCs/>
      <w:color w:val="0F4761" w:themeColor="accent1" w:themeShade="BF"/>
    </w:rPr>
  </w:style>
  <w:style w:type="paragraph" w:styleId="IntenseQuote">
    <w:name w:val="Intense Quote"/>
    <w:basedOn w:val="Normal"/>
    <w:next w:val="Normal"/>
    <w:link w:val="IntenseQuoteChar"/>
    <w:uiPriority w:val="30"/>
    <w:qFormat/>
    <w:rsid w:val="00D508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508ED"/>
    <w:rPr>
      <w:i/>
      <w:iCs/>
      <w:color w:val="0F4761" w:themeColor="accent1" w:themeShade="BF"/>
    </w:rPr>
  </w:style>
  <w:style w:type="character" w:styleId="IntenseReference">
    <w:name w:val="Intense Reference"/>
    <w:basedOn w:val="DefaultParagraphFont"/>
    <w:uiPriority w:val="32"/>
    <w:qFormat/>
    <w:rsid w:val="00D508ED"/>
    <w:rPr>
      <w:b/>
      <w:bCs/>
      <w:smallCaps/>
      <w:color w:val="0F4761" w:themeColor="accent1" w:themeShade="BF"/>
      <w:spacing w:val="5"/>
    </w:rPr>
  </w:style>
  <w:style w:type="paragraph" w:styleId="Header">
    <w:name w:val="header"/>
    <w:basedOn w:val="Normal"/>
    <w:link w:val="HeaderChar"/>
    <w:uiPriority w:val="99"/>
    <w:unhideWhenUsed/>
    <w:rsid w:val="00D508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08ED"/>
  </w:style>
  <w:style w:type="paragraph" w:styleId="Footer">
    <w:name w:val="footer"/>
    <w:basedOn w:val="Normal"/>
    <w:link w:val="FooterChar"/>
    <w:uiPriority w:val="99"/>
    <w:unhideWhenUsed/>
    <w:rsid w:val="00D508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08ED"/>
  </w:style>
  <w:style w:type="paragraph" w:styleId="BodyText3">
    <w:name w:val="Body Text 3"/>
    <w:basedOn w:val="Normal"/>
    <w:link w:val="BodyText3Char"/>
    <w:rsid w:val="008B6C45"/>
    <w:pPr>
      <w:spacing w:after="220" w:line="240" w:lineRule="auto"/>
      <w:jc w:val="both"/>
    </w:pPr>
    <w:rPr>
      <w:rFonts w:ascii="Times New Roman" w:eastAsia="Times New Roman" w:hAnsi="Times New Roman" w:cs="Times New Roman"/>
      <w:kern w:val="0"/>
      <w:sz w:val="22"/>
      <w:szCs w:val="20"/>
      <w14:ligatures w14:val="none"/>
    </w:rPr>
  </w:style>
  <w:style w:type="character" w:customStyle="1" w:styleId="BodyText3Char">
    <w:name w:val="Body Text 3 Char"/>
    <w:basedOn w:val="DefaultParagraphFont"/>
    <w:link w:val="BodyText3"/>
    <w:rsid w:val="008B6C45"/>
    <w:rPr>
      <w:rFonts w:ascii="Times New Roman" w:eastAsia="Times New Roman" w:hAnsi="Times New Roman" w:cs="Times New Roman"/>
      <w:kern w:val="0"/>
      <w:sz w:val="22"/>
      <w:szCs w:val="20"/>
      <w14:ligatures w14:val="none"/>
    </w:rPr>
  </w:style>
  <w:style w:type="character" w:styleId="CommentReference">
    <w:name w:val="annotation reference"/>
    <w:uiPriority w:val="99"/>
    <w:rsid w:val="0054110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d46520-c392-41b5-9f68-fe7486eefad7">
      <Terms xmlns="http://schemas.microsoft.com/office/infopath/2007/PartnerControls"/>
    </lcf76f155ced4ddcb4097134ff3c332f>
    <TaxCatchAll xmlns="3c9e15a3-223f-4584-afb1-1dbe0b3878fa" xsi:nil="true"/>
    <ProgressStatus xmlns="dbd46520-c392-41b5-9f68-fe7486eefad7">Not Started</ProgressStatus>
  </documentManagement>
</p:properties>
</file>

<file path=customXml/itemProps1.xml><?xml version="1.0" encoding="utf-8"?>
<ds:datastoreItem xmlns:ds="http://schemas.openxmlformats.org/officeDocument/2006/customXml" ds:itemID="{96E0545D-AFF6-4136-9164-A006BE5C8AAC}">
  <ds:schemaRefs>
    <ds:schemaRef ds:uri="http://schemas.microsoft.com/sharepoint/v3/contenttype/forms"/>
  </ds:schemaRefs>
</ds:datastoreItem>
</file>

<file path=customXml/itemProps2.xml><?xml version="1.0" encoding="utf-8"?>
<ds:datastoreItem xmlns:ds="http://schemas.openxmlformats.org/officeDocument/2006/customXml" ds:itemID="{DAE329DD-B57B-4745-AEB2-EA720A1FF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66AC5-30E6-4101-9415-E02ADD39EF28}">
  <ds:schemaRefs>
    <ds:schemaRef ds:uri="http://schemas.microsoft.com/office/2006/metadata/properties"/>
    <ds:schemaRef ds:uri="http://schemas.microsoft.com/office/infopath/2007/PartnerControls"/>
    <ds:schemaRef ds:uri="dbd46520-c392-41b5-9f68-fe7486eefad7"/>
    <ds:schemaRef ds:uri="3c9e15a3-223f-4584-afb1-1dbe0b3878fa"/>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1109</TotalTime>
  <Pages>5</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Gann, Julie</dc:creator>
  <cp:keywords/>
  <dc:description/>
  <cp:lastModifiedBy>Braun, Monica</cp:lastModifiedBy>
  <cp:revision>132</cp:revision>
  <cp:lastPrinted>2026-07-24T19:49:00Z</cp:lastPrinted>
  <dcterms:created xsi:type="dcterms:W3CDTF">2026-06-22T12:45:00Z</dcterms:created>
  <dcterms:modified xsi:type="dcterms:W3CDTF">2026-07-24T19:49:00Z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ies>
</file>